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Р И Г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Скину Л.П.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Чепелкиной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№715 от 17.08.2006 и ордер №1387 от 29.05.2024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№1-25</w:t>
      </w:r>
      <w:r>
        <w:rPr>
          <w:rFonts w:ascii="Times New Roman" w:eastAsia="Times New Roman" w:hAnsi="Times New Roman" w:cs="Times New Roman"/>
          <w:sz w:val="28"/>
          <w:szCs w:val="28"/>
        </w:rPr>
        <w:t>-2803/2024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ст.112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Грицфельд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фе</w:t>
      </w:r>
      <w:r>
        <w:rPr>
          <w:rFonts w:ascii="Times New Roman" w:eastAsia="Times New Roman" w:hAnsi="Times New Roman" w:cs="Times New Roman"/>
          <w:sz w:val="28"/>
          <w:szCs w:val="28"/>
        </w:rPr>
        <w:t>враля 2024 года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помещении, расположенном возле кухни на первом этаже квартиры №1 дома №56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ссоры, возникшей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внезапно возникших личных неприязненных отношений к Бердышевой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йгуль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Абилкаировной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ответ на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скорбительные слова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адре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внезапно возникшим умыслом, направленным на причинение вреда здоровью, физической боли и телесных повреждений последней, умышленно нанес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несколько ударов кулаками обеих рук по телу. 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продолжая свой преступный умысел, направленный на причинение телесных повреждений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З.А., поднялся в комнату, расп</w:t>
      </w:r>
      <w:r>
        <w:rPr>
          <w:rFonts w:ascii="Times New Roman" w:eastAsia="Times New Roman" w:hAnsi="Times New Roman" w:cs="Times New Roman"/>
          <w:sz w:val="28"/>
          <w:szCs w:val="28"/>
        </w:rPr>
        <w:t>оложенную на третьем этаже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адресу, нанес последней несколько ударов кулаками и ногой в область туловища, причинив тем самым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телесные повреждения в виде: закрытой травмы груди: переломы левых 2,3,5,6-го ребер по средней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ключичной линии, левого 8-го ребра по средней подмышечной линии, которые на основании заключения эксперта №213 </w:t>
      </w:r>
      <w:r>
        <w:rPr>
          <w:rFonts w:ascii="Times New Roman" w:eastAsia="Times New Roman" w:hAnsi="Times New Roman" w:cs="Times New Roman"/>
          <w:sz w:val="28"/>
          <w:szCs w:val="28"/>
        </w:rPr>
        <w:t>от 06.03.2024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причинили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средней тяжести вред здоровью (по признаку длительного расстройства здоровья, более 21 дня).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пояснил, что предъявленное обвинение ему понятно, с ним полностью согласен, вину в совершении преступления признает в полном объеме. Ходатайство о постановлении приговора без проведения судебного разбирательства в общем порядке заявлено им добровольно после консультации с защитником, ходатайство поддерживает, осознает характер ходатайства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ходатайство подсудимого о постановлении приговора без проведения судебного разбирательства в общем порядке, выслушав мнение защитника, государственного обвинителя,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выразивших </w:t>
      </w:r>
      <w:r>
        <w:rPr>
          <w:rFonts w:ascii="Times New Roman" w:eastAsia="Times New Roman" w:hAnsi="Times New Roman" w:cs="Times New Roman"/>
          <w:sz w:val="28"/>
          <w:szCs w:val="28"/>
        </w:rPr>
        <w:t>свое согласие на рассмотрение дела в особом порядке и полагавших необходимым его удовлетворить, удостоверившись, что подсудимый осознает характер и последствия заявленного им ходатайства, что ходатайство заявлено им добровольно и после консультации с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ом, а также то, что 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данного Кодекса, но вызвавшего длительное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мировой судья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</w:t>
      </w:r>
      <w:hyperlink r:id="rId4" w:anchor="/multilink/10108000/paragraph/1073746664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 </w:t>
      </w:r>
      <w:hyperlink r:id="rId4" w:anchor="/document/71288502/entry/13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обстоятельства, смягчающие наказание, а также влияние назначенного наказания на исправление осужденного и на условия жизни его семьи, а также предусмотренные уголовным законом общие начала и цели назначения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личность подсудимого, который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преступление совершил в период непогашенной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в целом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подсудимого,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>,з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ст.61 УК РФ явку с повинной, в качестве которой суд признает объяснение подсудимого, данное </w:t>
      </w:r>
      <w:r>
        <w:rPr>
          <w:rFonts w:ascii="Times New Roman" w:eastAsia="Times New Roman" w:hAnsi="Times New Roman" w:cs="Times New Roman"/>
          <w:sz w:val="28"/>
          <w:szCs w:val="28"/>
        </w:rPr>
        <w:t>до возбуждение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обровольное возмещение морального вреда, причиненного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sz w:val="28"/>
          <w:szCs w:val="28"/>
        </w:rPr>
        <w:t>ральность поведения потерпевшей, явившимся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поводом д</w:t>
      </w:r>
      <w:r>
        <w:rPr>
          <w:rFonts w:ascii="Times New Roman" w:eastAsia="Times New Roman" w:hAnsi="Times New Roman" w:cs="Times New Roman"/>
          <w:sz w:val="28"/>
          <w:szCs w:val="28"/>
        </w:rPr>
        <w:t>ля преступления, выразившееся в высказывании потерпевшей оскорбительных слов в адрес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следует из пояснений потерпевшей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>61 УК РФ – раскаяние в совершенном преступ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ении, о чем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в ходе предварит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расследования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суде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признает в качестве отягчающего наказание обстоятельства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разъяснениями, содержащимися в </w:t>
      </w:r>
      <w:hyperlink r:id="rId5" w:anchor="/document/71288502/entry/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Российской Федерации от 22 декабря 2015 </w:t>
      </w:r>
      <w:r>
        <w:rPr>
          <w:rFonts w:ascii="Times New Roman" w:eastAsia="Times New Roman" w:hAnsi="Times New Roman" w:cs="Times New Roman"/>
          <w:sz w:val="28"/>
          <w:szCs w:val="28"/>
        </w:rPr>
        <w:t>года №58 «</w:t>
      </w:r>
      <w:r>
        <w:rPr>
          <w:rFonts w:ascii="Times New Roman" w:eastAsia="Times New Roman" w:hAnsi="Times New Roman" w:cs="Times New Roman"/>
          <w:sz w:val="28"/>
          <w:szCs w:val="28"/>
        </w:rPr>
        <w:t>О практике назначения судами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уголовного наказания»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само по себе совершение преступления в состоянии опьянения, вызванном употреблением алкоголя,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единственным и достаточным основанием для признания такого состояния обстоятельством, отягчающим наказание. Доказательств того, что состояние опьянения повлияло на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при совершении преступления судом не получено. Установлено, что совершение преступления было вызвано неприязненным отношением к потерпевшей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З.А. в связи с конфликтом с последней.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все установленные по делу обстоятельства в совокупности со сведениями о личности подсудимого, отношение подсудимого к содеянному, влияние назначенного наказания на условия жизни его семьи, в целях восстановления социальной справедливости, исправления подсудимого, предупреждения совершения им повторных преступлений, суд считает справедливым назначение подсудимому наказания в виде ограничения свободы.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рассматривает вопрос о применении </w:t>
      </w:r>
      <w:hyperlink r:id="rId5" w:anchor="/document/10108000/entry/6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ч.</w:t>
      </w:r>
      <w:hyperlink r:id="rId5" w:anchor="/document/10108000/entry/6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 ст.62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ввиду назначения не самого строгого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ст.64 УК РФ не имеется, поскольку исключительных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а смягчающие обстоятельства таковыми не являются, поскольку не уменьшают характер и степень общественной опасности совер</w:t>
      </w:r>
      <w:r>
        <w:rPr>
          <w:rFonts w:ascii="Times New Roman" w:eastAsia="Times New Roman" w:hAnsi="Times New Roman" w:cs="Times New Roman"/>
          <w:sz w:val="28"/>
          <w:szCs w:val="28"/>
        </w:rPr>
        <w:t>шенного преступления, не 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целями и мотивами преступления, ролью виновного и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совершения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ч.6 ст.53 УК РФ ограничение свободы не назначается военнослужащим, иностранным гражданам, лицам без гражданства, а также лицам, не имеющим места постоянного проживания на территории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лицам, перечисленным в ч.6 ст.53 УК РФ подсудимый не относится, так как, он является гражданином Российской Федерации, постоянно проживает на территории города Ханты-Мансийска, имеет регистрацию, трудоустроен по месту жи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тельства, не является военнослужащим.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anchor="/document/10108000/entry/4000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ст.53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а также с учетом личности подсудимого и обстоятельств совершения им преступления, суд устанавливает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ограничения, а также возлагает обязанность.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приговором мирового судьи судебного участка №2 Ханты-Мансийского судебного района от 14.08.2020 осужден за совершение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1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ст.319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5000 рублей, при этом назначенное наказание в виде штрафа им не отбыто, суд полагает, что 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подлежит назначению по правилам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7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полного присоединения к назначаемому наказанию по данному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по приговору от 14.08.2020.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наказание в виде штрафа в силу требований ч.2 ст.71 УК РФ подлежит самостоятельному исполнению.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иск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подсудимого избрана мера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 в виде обязательства о явке, которая до вступления в законную силу приговора подлежит оставлению без изменения, после вступления в законную силу приговора суда, подлежит отмене.</w:t>
      </w:r>
    </w:p>
    <w:p>
      <w:pPr>
        <w:spacing w:before="0" w:after="0"/>
        <w:ind w:left="1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 назначению суда защиту подсудимого осуществлял адвокат, суммы, выплачиваемые адвокату, участвующему в уголовном деле по назначению суда отнесены ст.131 УПК РФ к процессуальным издержкам.</w:t>
      </w:r>
    </w:p>
    <w:p>
      <w:pPr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12125178/entry/316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.10 ст.316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при особом порядке судебного разбирательства процессуальные издержки, предусмотренные </w:t>
      </w:r>
      <w:hyperlink r:id="rId7" w:anchor="/document/12125178/entry/1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и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304, 307-309, 314-316 </w:t>
      </w:r>
      <w:r>
        <w:rPr>
          <w:rFonts w:ascii="Times New Roman" w:eastAsia="Times New Roman" w:hAnsi="Times New Roman" w:cs="Times New Roman"/>
          <w:sz w:val="28"/>
          <w:szCs w:val="28"/>
        </w:rPr>
        <w:t>УПК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предусмотренного ч.1 ст.112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 в виде огранич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5300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назначенному наказанию полностью присоединить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5000 (пять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назначенного по приговору мирового судьи судебного участка №2 Ханты-Мансийского судебного района от 14.08.2020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совокупности приговоров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Александровичу окончательное наказание в виде огран</w:t>
      </w:r>
      <w:r>
        <w:rPr>
          <w:rFonts w:ascii="Times New Roman" w:eastAsia="Times New Roman" w:hAnsi="Times New Roman" w:cs="Times New Roman"/>
          <w:sz w:val="28"/>
          <w:szCs w:val="28"/>
        </w:rPr>
        <w:t>ичения свободы на срок 1 год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штрафом в размере 5000 (пять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период ограничения свободы следующие ограничения: не выезжать за пределы Муниципального образования город Ханты-Мансийск, не изменять место жительства и 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>
      <w:pPr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 1 раз в месяц для регистрации.</w:t>
      </w:r>
    </w:p>
    <w:p>
      <w:pPr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Грицфельду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Александровичу наказание в виде штрафа исполнять самостоятельно.</w:t>
      </w:r>
    </w:p>
    <w:p>
      <w:pPr>
        <w:spacing w:before="0" w:after="0"/>
        <w:ind w:right="1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процессуального принуждения в виде обязательства о явке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Грицфельда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оставить прежней до вступления в законную силу приговора суда, после вступления в законную силу меру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процессуального принуждения отменить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усл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на счет федерального бюджета.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приговор может быть обжалован в апелляционном порядке в Ханты-Мансийский районный путем подачи жалобы или представления в течение десяти суток со дня 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567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73F1-E3B2-4B99-BD9D-8BC3F33502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